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121F" w:rsidRDefault="00837E73">
      <w:pPr>
        <w:pBdr>
          <w:top w:val="nil"/>
          <w:left w:val="nil"/>
          <w:bottom w:val="nil"/>
          <w:right w:val="nil"/>
          <w:between w:val="nil"/>
        </w:pBdr>
        <w:spacing w:after="120"/>
        <w:jc w:val="center"/>
        <w:rPr>
          <w:rFonts w:ascii="Times New Roman" w:eastAsia="Times New Roman" w:hAnsi="Times New Roman" w:cs="Times New Roman"/>
          <w:color w:val="000000"/>
          <w:sz w:val="20"/>
          <w:szCs w:val="20"/>
        </w:rPr>
      </w:pPr>
      <w:bookmarkStart w:id="0" w:name="_heading=h.gjdgxs" w:colFirst="0" w:colLast="0"/>
      <w:bookmarkEnd w:id="0"/>
      <w:r>
        <w:rPr>
          <w:rFonts w:ascii="Times New Roman" w:eastAsia="Times New Roman" w:hAnsi="Times New Roman" w:cs="Times New Roman"/>
          <w:b/>
          <w:color w:val="000000"/>
        </w:rPr>
        <w:t>ESTUDO SOBRE A QUANTFICAÇÃO DA COR DE MATERIAIS QUE COMPÕE O SOLO</w:t>
      </w:r>
    </w:p>
    <w:p w14:paraId="00000002" w14:textId="77777777" w:rsidR="00CE121F" w:rsidRDefault="00837E73">
      <w:pPr>
        <w:pBdr>
          <w:top w:val="nil"/>
          <w:left w:val="nil"/>
          <w:bottom w:val="nil"/>
          <w:right w:val="nil"/>
          <w:between w:val="nil"/>
        </w:pBdr>
        <w:spacing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Maicon Ferreira Monteiro</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Giliader Daniel dos Santos</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Célia Regina Montes</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w:t>
      </w:r>
    </w:p>
    <w:p w14:paraId="00000003" w14:textId="77777777" w:rsidR="00CE121F" w:rsidRDefault="00837E73">
      <w:pPr>
        <w:pBdr>
          <w:top w:val="nil"/>
          <w:left w:val="nil"/>
          <w:bottom w:val="nil"/>
          <w:right w:val="nil"/>
          <w:between w:val="nil"/>
        </w:pBdr>
        <w:spacing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Débora Ayumi Ishida</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Gustavo Targino Valente</w:t>
      </w:r>
      <w:r>
        <w:rPr>
          <w:rFonts w:ascii="Times New Roman" w:eastAsia="Times New Roman" w:hAnsi="Times New Roman" w:cs="Times New Roman"/>
          <w:color w:val="000000"/>
          <w:sz w:val="20"/>
          <w:szCs w:val="20"/>
          <w:vertAlign w:val="superscript"/>
        </w:rPr>
        <w:t>1</w:t>
      </w:r>
    </w:p>
    <w:p w14:paraId="00000004" w14:textId="77777777" w:rsidR="00CE121F" w:rsidRDefault="00837E73">
      <w:pPr>
        <w:pBdr>
          <w:top w:val="nil"/>
          <w:left w:val="nil"/>
          <w:bottom w:val="nil"/>
          <w:right w:val="nil"/>
          <w:between w:val="nil"/>
        </w:pBdr>
        <w:spacing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Instituto Federal de Educação, Ciência e Tecnologia de Mato Grosso do Sul – Naviraí – MS</w:t>
      </w:r>
    </w:p>
    <w:p w14:paraId="00000005" w14:textId="5001D4DF" w:rsidR="00CE121F" w:rsidRDefault="00837E73">
      <w:pPr>
        <w:pBdr>
          <w:top w:val="nil"/>
          <w:left w:val="nil"/>
          <w:bottom w:val="nil"/>
          <w:right w:val="nil"/>
          <w:between w:val="nil"/>
        </w:pBdr>
        <w:spacing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Universidade de São Paulo, Centro de Energia Nuclear na Agricultura – Piracicaba </w:t>
      </w:r>
      <w:r w:rsidR="00765D4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SP </w:t>
      </w:r>
    </w:p>
    <w:p w14:paraId="00000006" w14:textId="77777777" w:rsidR="00CE121F" w:rsidRDefault="00837E73">
      <w:pPr>
        <w:pBdr>
          <w:top w:val="nil"/>
          <w:left w:val="nil"/>
          <w:bottom w:val="nil"/>
          <w:right w:val="nil"/>
          <w:between w:val="nil"/>
        </w:pBdr>
        <w:spacing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maicon.monteiro@estudante.ifms.edu.br, giliader.santos@estudante.ifms.edu.br, gustavo.valente@ifms.edu.br</w:t>
      </w:r>
    </w:p>
    <w:p w14:paraId="00000007"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Área/Subárea: Ciências Exatas e da Terra/Física.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Tipo de Pesquisa: Científica</w:t>
      </w:r>
    </w:p>
    <w:p w14:paraId="00000008"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Palavras-chave:</w:t>
      </w:r>
      <w:r>
        <w:rPr>
          <w:rFonts w:ascii="Times New Roman" w:eastAsia="Times New Roman" w:hAnsi="Times New Roman" w:cs="Times New Roman"/>
          <w:color w:val="000000"/>
          <w:sz w:val="20"/>
          <w:szCs w:val="20"/>
        </w:rPr>
        <w:t xml:space="preserve"> cor do solo, diagrama de cromaticidade, algoritmo.</w:t>
      </w:r>
    </w:p>
    <w:p w14:paraId="00000009" w14:textId="77777777" w:rsidR="00CE121F" w:rsidRDefault="00CE121F">
      <w:pPr>
        <w:sectPr w:rsidR="00CE121F">
          <w:headerReference w:type="default" r:id="rId8"/>
          <w:footerReference w:type="default" r:id="rId9"/>
          <w:pgSz w:w="11906" w:h="16838"/>
          <w:pgMar w:top="1985" w:right="567" w:bottom="1134" w:left="1134" w:header="284" w:footer="1418" w:gutter="0"/>
          <w:pgNumType w:start="1"/>
          <w:cols w:space="720"/>
        </w:sectPr>
      </w:pPr>
    </w:p>
    <w:p w14:paraId="0000000A" w14:textId="77777777" w:rsidR="00CE121F" w:rsidRDefault="00837E73">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Introdução</w:t>
      </w:r>
    </w:p>
    <w:p w14:paraId="0000000B" w14:textId="6D30FD06"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matéria sólida do solo é composta basicamente por minerais e matéria orgânica. Cada um desses materiais contribui com a coloração do solo que é utilizada para sua descrição e classificação. Por exemplo, sabe-se que minerais óxidos de ferro apresentam cores que compreendem intervalos de tons do vermelho até o amarelo enquanto a matéria orgânica é caracterizada por cores do marrom escuro ao preto (SCHULZE et al., 1993).</w:t>
      </w:r>
    </w:p>
    <w:p w14:paraId="0000000C" w14:textId="7997F2CA"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determinação da cor do solo é comumente realizada de forma visual e classificada por meio da tabela de cores de Munsell (MCC, 2010). Outra forma de classificar qualquer tipo de material é utilizando as coordenadas de cromaticidade seguindo o sistema CIE de Colorimetria estabelecido pela Comissão Internacional de Iluminação (CIE) (MARCUS, 1997). Em particular, esta última abordagem permite determinar a cor do solo de forma quantitativa utilizando a técnica de Espectroscopia de Reflectância Difusa (ERD) que se baseia na luz refletida pelos materiais. Para isso</w:t>
      </w:r>
      <w:r w:rsidR="000B6B6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é preciso determinar as coordenadas de cromaticidade que são originalmente definidas por meio </w:t>
      </w:r>
      <w:r w:rsidR="000B6B6C">
        <w:rPr>
          <w:rFonts w:ascii="Times New Roman" w:eastAsia="Times New Roman" w:hAnsi="Times New Roman" w:cs="Times New Roman"/>
          <w:color w:val="000000"/>
          <w:sz w:val="20"/>
          <w:szCs w:val="20"/>
        </w:rPr>
        <w:t xml:space="preserve">equações </w:t>
      </w:r>
      <w:r>
        <w:rPr>
          <w:rFonts w:ascii="Times New Roman" w:eastAsia="Times New Roman" w:hAnsi="Times New Roman" w:cs="Times New Roman"/>
          <w:color w:val="000000"/>
          <w:sz w:val="20"/>
          <w:szCs w:val="20"/>
        </w:rPr>
        <w:t>integrais. No entanto, a abordagem adotada no sistema CIE de Colorimetria é a de aproximar as integrais por somatórias (maiores detalhes dessas equações são apresentados seção Metodologia) (MARCUS, 1997).</w:t>
      </w:r>
    </w:p>
    <w:p w14:paraId="0000000D" w14:textId="554A28C4"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Neste contexto, estamos avaliando qual a diferença dos valores das coordenadas de cromaticidade obtida</w:t>
      </w:r>
      <w:r w:rsidR="00101310">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utilizando integrais com a abordagem adotada pelo sistema CIE de Colorimetria. Para isso, duas etapas estão em desenvolvimento: 1) Implementar um algoritmo para determinar as coordenadas de cromaticidade seguindo os procedimentos adotados atualmente; 2) Implementar um algoritmo de integral numérica para determinar as coordenadas de cromaticidade. No presente estudo serão apresentados os resultados referentes a 1° etapa da pesquisa.</w:t>
      </w:r>
    </w:p>
    <w:p w14:paraId="0000000E" w14:textId="77777777" w:rsidR="00CE121F" w:rsidRDefault="00837E73">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Metodologia</w:t>
      </w:r>
    </w:p>
    <w:p w14:paraId="0000000F" w14:textId="55A42E35"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bookmarkStart w:id="1" w:name="_heading=h.30j0zll" w:colFirst="0" w:colLast="0"/>
      <w:bookmarkEnd w:id="1"/>
      <w:r>
        <w:rPr>
          <w:rFonts w:ascii="Times New Roman" w:eastAsia="Times New Roman" w:hAnsi="Times New Roman" w:cs="Times New Roman"/>
          <w:color w:val="000000"/>
          <w:sz w:val="20"/>
          <w:szCs w:val="20"/>
        </w:rPr>
        <w:t xml:space="preserve">Para o cálculo das coordenadas de cromaticidade utilizou-se o iluminante ILL D65 que simula a luz do meio-dia e a função </w:t>
      </w:r>
      <w:r>
        <w:rPr>
          <w:rFonts w:ascii="Times New Roman" w:eastAsia="Times New Roman" w:hAnsi="Times New Roman" w:cs="Times New Roman"/>
          <w:i/>
          <w:color w:val="000000"/>
          <w:sz w:val="20"/>
          <w:szCs w:val="20"/>
        </w:rPr>
        <w:t>color matching functions</w:t>
      </w:r>
      <w:r>
        <w:rPr>
          <w:rFonts w:ascii="Times New Roman" w:eastAsia="Times New Roman" w:hAnsi="Times New Roman" w:cs="Times New Roman"/>
          <w:color w:val="000000"/>
          <w:sz w:val="20"/>
          <w:szCs w:val="20"/>
        </w:rPr>
        <w:t xml:space="preserve"> </w:t>
      </w:r>
      <w:r w:rsidRPr="007E16C2">
        <w:rPr>
          <w:rFonts w:ascii="Times New Roman" w:eastAsia="Times New Roman" w:hAnsi="Times New Roman" w:cs="Times New Roman"/>
          <w:color w:val="000000"/>
          <w:sz w:val="20"/>
          <w:szCs w:val="20"/>
        </w:rPr>
        <w:t>(</w:t>
      </w:r>
      <w:r w:rsidR="007E16C2" w:rsidRPr="007E16C2">
        <w:rPr>
          <w:rFonts w:ascii="Times New Roman" w:hAnsi="Times New Roman" w:cs="Times New Roman"/>
          <w:i/>
          <w:iCs/>
          <w:sz w:val="20"/>
          <w:szCs w:val="20"/>
        </w:rPr>
        <w:fldChar w:fldCharType="begin"/>
      </w:r>
      <w:r w:rsidR="007E16C2" w:rsidRPr="007E16C2">
        <w:rPr>
          <w:rFonts w:ascii="Times New Roman" w:hAnsi="Times New Roman" w:cs="Times New Roman"/>
          <w:i/>
          <w:iCs/>
          <w:sz w:val="20"/>
          <w:szCs w:val="20"/>
        </w:rPr>
        <w:instrText xml:space="preserve"> EQ \x \to(x)</w:instrText>
      </w:r>
      <w:r w:rsidR="007E16C2" w:rsidRPr="007E16C2">
        <w:rPr>
          <w:rFonts w:ascii="Times New Roman" w:hAnsi="Times New Roman" w:cs="Times New Roman"/>
          <w:i/>
          <w:iCs/>
          <w:sz w:val="20"/>
          <w:szCs w:val="20"/>
        </w:rPr>
        <w:fldChar w:fldCharType="end"/>
      </w:r>
      <w:r w:rsidR="007E16C2" w:rsidRPr="007E16C2">
        <w:rPr>
          <w:rFonts w:ascii="Times New Roman" w:eastAsia="Times New Roman" w:hAnsi="Times New Roman" w:cs="Times New Roman"/>
          <w:color w:val="000000"/>
          <w:sz w:val="20"/>
          <w:szCs w:val="20"/>
        </w:rPr>
        <w:t xml:space="preserve">, </w:t>
      </w:r>
      <w:r w:rsidR="007E16C2" w:rsidRPr="007E16C2">
        <w:rPr>
          <w:rFonts w:ascii="Times New Roman" w:hAnsi="Times New Roman" w:cs="Times New Roman"/>
          <w:sz w:val="20"/>
          <w:szCs w:val="20"/>
        </w:rPr>
        <w:t xml:space="preserve"> </w:t>
      </w:r>
      <w:r w:rsidR="007E16C2" w:rsidRPr="007E16C2">
        <w:rPr>
          <w:rFonts w:ascii="Times New Roman" w:hAnsi="Times New Roman" w:cs="Times New Roman"/>
          <w:i/>
          <w:iCs/>
          <w:sz w:val="20"/>
          <w:szCs w:val="20"/>
        </w:rPr>
        <w:fldChar w:fldCharType="begin"/>
      </w:r>
      <w:r w:rsidR="007E16C2" w:rsidRPr="007E16C2">
        <w:rPr>
          <w:rFonts w:ascii="Times New Roman" w:hAnsi="Times New Roman" w:cs="Times New Roman"/>
          <w:i/>
          <w:iCs/>
          <w:sz w:val="20"/>
          <w:szCs w:val="20"/>
        </w:rPr>
        <w:instrText xml:space="preserve"> EQ \x \to(y)</w:instrText>
      </w:r>
      <w:r w:rsidR="007E16C2" w:rsidRPr="007E16C2">
        <w:rPr>
          <w:rFonts w:ascii="Times New Roman" w:hAnsi="Times New Roman" w:cs="Times New Roman"/>
          <w:i/>
          <w:iCs/>
          <w:sz w:val="20"/>
          <w:szCs w:val="20"/>
        </w:rPr>
        <w:fldChar w:fldCharType="end"/>
      </w:r>
      <w:r w:rsidR="007E16C2" w:rsidRPr="007E16C2">
        <w:rPr>
          <w:rFonts w:ascii="Times New Roman" w:hAnsi="Times New Roman" w:cs="Times New Roman"/>
          <w:sz w:val="20"/>
          <w:szCs w:val="20"/>
        </w:rPr>
        <w:t xml:space="preserve">e </w:t>
      </w:r>
      <w:r w:rsidR="007E16C2" w:rsidRPr="007E16C2">
        <w:rPr>
          <w:rFonts w:ascii="Times New Roman" w:hAnsi="Times New Roman" w:cs="Times New Roman"/>
          <w:i/>
          <w:iCs/>
          <w:sz w:val="20"/>
          <w:szCs w:val="20"/>
        </w:rPr>
        <w:fldChar w:fldCharType="begin"/>
      </w:r>
      <w:r w:rsidR="007E16C2" w:rsidRPr="007E16C2">
        <w:rPr>
          <w:rFonts w:ascii="Times New Roman" w:hAnsi="Times New Roman" w:cs="Times New Roman"/>
          <w:i/>
          <w:iCs/>
          <w:sz w:val="20"/>
          <w:szCs w:val="20"/>
        </w:rPr>
        <w:instrText xml:space="preserve"> EQ \x \to(z)</w:instrText>
      </w:r>
      <w:r w:rsidR="007E16C2" w:rsidRPr="007E16C2">
        <w:rPr>
          <w:rFonts w:ascii="Times New Roman" w:hAnsi="Times New Roman" w:cs="Times New Roman"/>
          <w:i/>
          <w:iCs/>
          <w:sz w:val="20"/>
          <w:szCs w:val="20"/>
        </w:rPr>
        <w:fldChar w:fldCharType="end"/>
      </w:r>
      <w:r w:rsidRPr="007E16C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ambos obtidos em Marcus (1997). O procedimento para calcular as coordenadas de cromaticidade consiste em inicialmente determinar os </w:t>
      </w:r>
      <w:r>
        <w:rPr>
          <w:rFonts w:ascii="Times New Roman" w:eastAsia="Times New Roman" w:hAnsi="Times New Roman" w:cs="Times New Roman"/>
          <w:color w:val="000000"/>
          <w:sz w:val="20"/>
          <w:szCs w:val="20"/>
        </w:rPr>
        <w:t>valores triestímulos (</w:t>
      </w:r>
      <w:r>
        <w:rPr>
          <w:rFonts w:ascii="Times New Roman" w:eastAsia="Times New Roman" w:hAnsi="Times New Roman" w:cs="Times New Roman"/>
          <w:i/>
          <w:color w:val="000000"/>
          <w:sz w:val="20"/>
          <w:szCs w:val="20"/>
        </w:rPr>
        <w:t>X</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Y</w:t>
      </w:r>
      <w:r>
        <w:rPr>
          <w:rFonts w:ascii="Times New Roman" w:eastAsia="Times New Roman" w:hAnsi="Times New Roman" w:cs="Times New Roman"/>
          <w:color w:val="000000"/>
          <w:sz w:val="20"/>
          <w:szCs w:val="20"/>
        </w:rPr>
        <w:t xml:space="preserve"> e </w:t>
      </w:r>
      <w:r>
        <w:rPr>
          <w:rFonts w:ascii="Times New Roman" w:eastAsia="Times New Roman" w:hAnsi="Times New Roman" w:cs="Times New Roman"/>
          <w:i/>
          <w:color w:val="000000"/>
          <w:sz w:val="20"/>
          <w:szCs w:val="20"/>
        </w:rPr>
        <w:t>Z</w:t>
      </w:r>
      <w:r>
        <w:rPr>
          <w:rFonts w:ascii="Times New Roman" w:eastAsia="Times New Roman" w:hAnsi="Times New Roman" w:cs="Times New Roman"/>
          <w:color w:val="000000"/>
          <w:sz w:val="20"/>
          <w:szCs w:val="20"/>
        </w:rPr>
        <w:t>) que são descritos pelas equações a seguir,</w:t>
      </w:r>
    </w:p>
    <w:p w14:paraId="00000010" w14:textId="1FB9E469" w:rsidR="00CE121F" w:rsidRDefault="0007336D">
      <w:pPr>
        <w:pBdr>
          <w:top w:val="nil"/>
          <w:left w:val="nil"/>
          <w:bottom w:val="nil"/>
          <w:right w:val="nil"/>
          <w:between w:val="nil"/>
        </w:pBdr>
        <w:spacing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004540D2" wp14:editId="05A83F89">
            <wp:extent cx="2647008" cy="1278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008" cy="1278000"/>
                    </a:xfrm>
                    <a:prstGeom prst="rect">
                      <a:avLst/>
                    </a:prstGeom>
                    <a:noFill/>
                  </pic:spPr>
                </pic:pic>
              </a:graphicData>
            </a:graphic>
          </wp:inline>
        </w:drawing>
      </w:r>
    </w:p>
    <w:p w14:paraId="00000011" w14:textId="757D9492" w:rsidR="00CE121F" w:rsidRDefault="00526C96">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837E73">
        <w:rPr>
          <w:rFonts w:ascii="Times New Roman" w:eastAsia="Times New Roman" w:hAnsi="Times New Roman" w:cs="Times New Roman"/>
          <w:color w:val="000000"/>
          <w:sz w:val="20"/>
          <w:szCs w:val="20"/>
        </w:rPr>
        <w:t xml:space="preserve">om </w:t>
      </w:r>
      <w:r w:rsidR="00837E73">
        <w:rPr>
          <w:rFonts w:ascii="Times New Roman" w:eastAsia="Times New Roman" w:hAnsi="Times New Roman" w:cs="Times New Roman"/>
          <w:i/>
          <w:color w:val="000000"/>
          <w:sz w:val="20"/>
          <w:szCs w:val="20"/>
        </w:rPr>
        <w:t>R</w:t>
      </w:r>
      <w:r w:rsidR="00837E73">
        <w:rPr>
          <w:rFonts w:ascii="Times New Roman" w:eastAsia="Times New Roman" w:hAnsi="Times New Roman" w:cs="Times New Roman"/>
          <w:color w:val="000000"/>
          <w:sz w:val="20"/>
          <w:szCs w:val="20"/>
        </w:rPr>
        <w:t>(</w:t>
      </w:r>
      <w:r w:rsidR="00837E73">
        <w:rPr>
          <w:rFonts w:ascii="Times New Roman" w:eastAsia="Times New Roman" w:hAnsi="Times New Roman" w:cs="Times New Roman"/>
          <w:i/>
          <w:color w:val="000000"/>
          <w:sz w:val="20"/>
          <w:szCs w:val="20"/>
        </w:rPr>
        <w:t>w</w:t>
      </w:r>
      <w:r w:rsidR="00837E73">
        <w:rPr>
          <w:rFonts w:ascii="Times New Roman" w:eastAsia="Times New Roman" w:hAnsi="Times New Roman" w:cs="Times New Roman"/>
          <w:color w:val="000000"/>
          <w:sz w:val="20"/>
          <w:szCs w:val="20"/>
        </w:rPr>
        <w:t xml:space="preserve">) correspondendo a reflectância em porcentagem do material investigado e </w:t>
      </w:r>
      <w:r w:rsidR="00837E73">
        <w:rPr>
          <w:rFonts w:ascii="Times New Roman" w:eastAsia="Times New Roman" w:hAnsi="Times New Roman" w:cs="Times New Roman"/>
          <w:i/>
          <w:color w:val="000000"/>
          <w:sz w:val="20"/>
          <w:szCs w:val="20"/>
        </w:rPr>
        <w:t>w</w:t>
      </w:r>
      <w:r w:rsidR="00837E73">
        <w:rPr>
          <w:rFonts w:ascii="Times New Roman" w:eastAsia="Times New Roman" w:hAnsi="Times New Roman" w:cs="Times New Roman"/>
          <w:color w:val="000000"/>
          <w:sz w:val="20"/>
          <w:szCs w:val="20"/>
        </w:rPr>
        <w:t xml:space="preserve"> o comprimento de onda.</w:t>
      </w:r>
    </w:p>
    <w:p w14:paraId="00000012"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partir dos valores tristímulos, as coordenadas de cromaticidades (</w:t>
      </w:r>
      <w:r>
        <w:rPr>
          <w:rFonts w:ascii="Times New Roman" w:eastAsia="Times New Roman" w:hAnsi="Times New Roman" w:cs="Times New Roman"/>
          <w:i/>
          <w:color w:val="000000"/>
          <w:sz w:val="20"/>
          <w:szCs w:val="20"/>
        </w:rPr>
        <w:t>x</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y</w:t>
      </w:r>
      <w:r>
        <w:rPr>
          <w:rFonts w:ascii="Times New Roman" w:eastAsia="Times New Roman" w:hAnsi="Times New Roman" w:cs="Times New Roman"/>
          <w:color w:val="000000"/>
          <w:sz w:val="20"/>
          <w:szCs w:val="20"/>
        </w:rPr>
        <w:t xml:space="preserve"> e </w:t>
      </w:r>
      <w:r>
        <w:rPr>
          <w:rFonts w:ascii="Times New Roman" w:eastAsia="Times New Roman" w:hAnsi="Times New Roman" w:cs="Times New Roman"/>
          <w:i/>
          <w:color w:val="000000"/>
          <w:sz w:val="20"/>
          <w:szCs w:val="20"/>
        </w:rPr>
        <w:t>z</w:t>
      </w:r>
      <w:r>
        <w:rPr>
          <w:rFonts w:ascii="Times New Roman" w:eastAsia="Times New Roman" w:hAnsi="Times New Roman" w:cs="Times New Roman"/>
          <w:color w:val="000000"/>
          <w:sz w:val="20"/>
          <w:szCs w:val="20"/>
        </w:rPr>
        <w:t>) são obtidos por,</w:t>
      </w:r>
    </w:p>
    <w:p w14:paraId="00000013" w14:textId="77777777" w:rsidR="00CE121F" w:rsidRDefault="00837E73">
      <w:pPr>
        <w:pBdr>
          <w:top w:val="nil"/>
          <w:left w:val="nil"/>
          <w:bottom w:val="nil"/>
          <w:right w:val="nil"/>
          <w:between w:val="nil"/>
        </w:pBdr>
        <w:spacing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2628000" cy="427525"/>
            <wp:effectExtent l="0" t="0" r="0" b="0"/>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628000" cy="427525"/>
                    </a:xfrm>
                    <a:prstGeom prst="rect">
                      <a:avLst/>
                    </a:prstGeom>
                    <a:ln/>
                  </pic:spPr>
                </pic:pic>
              </a:graphicData>
            </a:graphic>
          </wp:inline>
        </w:drawing>
      </w:r>
    </w:p>
    <w:p w14:paraId="00000014"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 forma que estes valores estão entre 0 e 1 e a somatória corresponde a 1.</w:t>
      </w:r>
    </w:p>
    <w:p w14:paraId="00000015"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Para construção do algoritmo utilizou-se a linguagem de programação </w:t>
      </w:r>
      <w:r>
        <w:rPr>
          <w:rFonts w:ascii="Times New Roman" w:eastAsia="Times New Roman" w:hAnsi="Times New Roman" w:cs="Times New Roman"/>
          <w:i/>
          <w:color w:val="000000"/>
          <w:sz w:val="20"/>
          <w:szCs w:val="20"/>
        </w:rPr>
        <w:t>Python</w:t>
      </w:r>
      <w:r>
        <w:rPr>
          <w:rFonts w:ascii="Times New Roman" w:eastAsia="Times New Roman" w:hAnsi="Times New Roman" w:cs="Times New Roman"/>
          <w:color w:val="000000"/>
          <w:sz w:val="20"/>
          <w:szCs w:val="20"/>
        </w:rPr>
        <w:t xml:space="preserve"> para o cálculo das coordenadas de cromaticidade, o próximo passo consistiu em utilizar a biblioteca </w:t>
      </w:r>
      <w:r>
        <w:rPr>
          <w:rFonts w:ascii="Times New Roman" w:eastAsia="Times New Roman" w:hAnsi="Times New Roman" w:cs="Times New Roman"/>
          <w:i/>
          <w:color w:val="000000"/>
          <w:sz w:val="20"/>
          <w:szCs w:val="20"/>
        </w:rPr>
        <w:t>color-science</w:t>
      </w:r>
      <w:r>
        <w:rPr>
          <w:rFonts w:ascii="Times New Roman" w:eastAsia="Times New Roman" w:hAnsi="Times New Roman" w:cs="Times New Roman"/>
          <w:color w:val="000000"/>
          <w:sz w:val="20"/>
          <w:szCs w:val="20"/>
        </w:rPr>
        <w:t xml:space="preserve"> para produção do diagrama de cromaticidade a partir das coordenadas de cromaticidade </w:t>
      </w:r>
      <w:r>
        <w:rPr>
          <w:rFonts w:ascii="Times New Roman" w:eastAsia="Times New Roman" w:hAnsi="Times New Roman" w:cs="Times New Roman"/>
          <w:i/>
          <w:color w:val="000000"/>
          <w:sz w:val="20"/>
          <w:szCs w:val="20"/>
        </w:rPr>
        <w:t>x</w:t>
      </w:r>
      <w:r>
        <w:rPr>
          <w:rFonts w:ascii="Times New Roman" w:eastAsia="Times New Roman" w:hAnsi="Times New Roman" w:cs="Times New Roman"/>
          <w:color w:val="000000"/>
          <w:sz w:val="20"/>
          <w:szCs w:val="20"/>
        </w:rPr>
        <w:t xml:space="preserve"> e </w:t>
      </w:r>
      <w:r>
        <w:rPr>
          <w:rFonts w:ascii="Times New Roman" w:eastAsia="Times New Roman" w:hAnsi="Times New Roman" w:cs="Times New Roman"/>
          <w:i/>
          <w:color w:val="000000"/>
          <w:sz w:val="20"/>
          <w:szCs w:val="20"/>
        </w:rPr>
        <w:t>y</w:t>
      </w:r>
      <w:r>
        <w:rPr>
          <w:rFonts w:ascii="Times New Roman" w:eastAsia="Times New Roman" w:hAnsi="Times New Roman" w:cs="Times New Roman"/>
          <w:color w:val="000000"/>
          <w:sz w:val="20"/>
          <w:szCs w:val="20"/>
        </w:rPr>
        <w:t>.</w:t>
      </w:r>
    </w:p>
    <w:p w14:paraId="00000016" w14:textId="77777777" w:rsidR="00CE121F" w:rsidRDefault="00837E73">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Resultados e Análise</w:t>
      </w:r>
    </w:p>
    <w:p w14:paraId="00000017"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intuito do desenvolvimento do algoritmo é para fins de pesquisa científica, no entanto algumas funcionalidades foram implementadas para que futuramente seja disponibilizado para aplicações técnicas no campo da ciência do solo. Tais características são apresentadas na Figura 1 que contém a interface do algoritmo com as seguintes opções para o usuário: 1) Enviar os dados para o cálculo; 2) Mostrar dados; 3) Sair.</w:t>
      </w:r>
    </w:p>
    <w:p w14:paraId="00000018"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opção </w:t>
      </w:r>
      <w:r>
        <w:rPr>
          <w:rFonts w:ascii="Times New Roman" w:eastAsia="Times New Roman" w:hAnsi="Times New Roman" w:cs="Times New Roman"/>
          <w:i/>
          <w:color w:val="000000"/>
          <w:sz w:val="20"/>
          <w:szCs w:val="20"/>
        </w:rPr>
        <w:t>Enviar os dados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para o cálculo</w:t>
      </w:r>
      <w:r>
        <w:rPr>
          <w:rFonts w:ascii="Times New Roman" w:eastAsia="Times New Roman" w:hAnsi="Times New Roman" w:cs="Times New Roman"/>
          <w:color w:val="000000"/>
          <w:sz w:val="20"/>
          <w:szCs w:val="20"/>
        </w:rPr>
        <w:t>, o algoritmo executa o cálculo dos valores das coordenadas de cromaticidade, conforme descrito na seção anterior, e apresenta o diagrama de cromaticidade indicando a estimativa da cor do material.</w:t>
      </w:r>
    </w:p>
    <w:p w14:paraId="00000019"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noProof/>
          <w:color w:val="000000"/>
          <w:sz w:val="20"/>
          <w:szCs w:val="20"/>
        </w:rPr>
        <w:lastRenderedPageBreak/>
        <w:drawing>
          <wp:inline distT="114300" distB="114300" distL="114300" distR="114300">
            <wp:extent cx="3095625" cy="1066800"/>
            <wp:effectExtent l="0" t="0" r="0" b="0"/>
            <wp:docPr id="1033" name="image5.png" descr="Interface gráfica do usuári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5.png" descr="Interface gráfica do usuário, Aplicativo&#10;&#10;Descrição gerada automaticamente"/>
                    <pic:cNvPicPr preferRelativeResize="0"/>
                  </pic:nvPicPr>
                  <pic:blipFill>
                    <a:blip r:embed="rId12"/>
                    <a:srcRect/>
                    <a:stretch>
                      <a:fillRect/>
                    </a:stretch>
                  </pic:blipFill>
                  <pic:spPr>
                    <a:xfrm>
                      <a:off x="0" y="0"/>
                      <a:ext cx="3095625" cy="1066800"/>
                    </a:xfrm>
                    <a:prstGeom prst="rect">
                      <a:avLst/>
                    </a:prstGeom>
                    <a:ln/>
                  </pic:spPr>
                </pic:pic>
              </a:graphicData>
            </a:graphic>
          </wp:inline>
        </w:drawing>
      </w:r>
    </w:p>
    <w:p w14:paraId="0000001A"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Figura 1 – </w:t>
      </w:r>
      <w:r>
        <w:rPr>
          <w:rFonts w:ascii="Times New Roman" w:eastAsia="Times New Roman" w:hAnsi="Times New Roman" w:cs="Times New Roman"/>
          <w:color w:val="000000"/>
          <w:sz w:val="20"/>
          <w:szCs w:val="20"/>
        </w:rPr>
        <w:t xml:space="preserve">Interface do algoritmo de cálculo das coordenadas de cromaticidade. </w:t>
      </w:r>
    </w:p>
    <w:p w14:paraId="0000001B" w14:textId="210C97B5"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Como prova de conceito, determinou-se as coordenadas de cromaticidade do material hematita que é um óxido de ferro comumente presente em solos nacionais e apresenta coloração vermelha. Os dados de reflectância da hematita (310050 Sigma-Aldrich) foram fornecidos pelo Núcleo de Pesquisa em Geoquímica e Geofísica da Litosfera da Universidade de São Paulo (NUPEGEL-USP), instituição parceira nesse projeto de pesquisa. Os valores das coordenadas de cromaticidade estimados para hematita correspondem a </w:t>
      </w:r>
      <w:r>
        <w:rPr>
          <w:rFonts w:ascii="Times New Roman" w:eastAsia="Times New Roman" w:hAnsi="Times New Roman" w:cs="Times New Roman"/>
          <w:i/>
          <w:color w:val="000000"/>
          <w:sz w:val="20"/>
          <w:szCs w:val="20"/>
        </w:rPr>
        <w:t>x</w:t>
      </w:r>
      <w:r>
        <w:rPr>
          <w:rFonts w:ascii="Times New Roman" w:eastAsia="Times New Roman" w:hAnsi="Times New Roman" w:cs="Times New Roman"/>
          <w:color w:val="000000"/>
          <w:sz w:val="20"/>
          <w:szCs w:val="20"/>
        </w:rPr>
        <w:t xml:space="preserve"> </w:t>
      </w:r>
      <w:sdt>
        <w:sdtPr>
          <w:tag w:val="goog_rdk_0"/>
          <w:id w:val="-1542521491"/>
        </w:sdtPr>
        <w:sdtEndPr/>
        <w:sdtContent>
          <w:r>
            <w:rPr>
              <w:rFonts w:ascii="Arial Unicode MS" w:eastAsia="Arial Unicode MS" w:hAnsi="Arial Unicode MS" w:cs="Arial Unicode MS"/>
              <w:color w:val="202124"/>
              <w:sz w:val="21"/>
              <w:szCs w:val="21"/>
              <w:highlight w:val="white"/>
            </w:rPr>
            <w:t>≅</w:t>
          </w:r>
        </w:sdtContent>
      </w:sdt>
      <w:r>
        <w:rPr>
          <w:rFonts w:ascii="Times New Roman" w:eastAsia="Times New Roman" w:hAnsi="Times New Roman" w:cs="Times New Roman"/>
          <w:color w:val="000000"/>
          <w:sz w:val="20"/>
          <w:szCs w:val="20"/>
        </w:rPr>
        <w:t xml:space="preserve"> 0,44, </w:t>
      </w:r>
      <w:r>
        <w:rPr>
          <w:rFonts w:ascii="Times New Roman" w:eastAsia="Times New Roman" w:hAnsi="Times New Roman" w:cs="Times New Roman"/>
          <w:i/>
          <w:color w:val="000000"/>
          <w:sz w:val="20"/>
          <w:szCs w:val="20"/>
        </w:rPr>
        <w:t>y</w:t>
      </w:r>
      <w:r>
        <w:rPr>
          <w:rFonts w:ascii="Times New Roman" w:eastAsia="Times New Roman" w:hAnsi="Times New Roman" w:cs="Times New Roman"/>
          <w:color w:val="000000"/>
          <w:sz w:val="20"/>
          <w:szCs w:val="20"/>
        </w:rPr>
        <w:t xml:space="preserve"> </w:t>
      </w:r>
      <w:sdt>
        <w:sdtPr>
          <w:tag w:val="goog_rdk_1"/>
          <w:id w:val="-1590612005"/>
        </w:sdtPr>
        <w:sdtEndPr/>
        <w:sdtContent>
          <w:r>
            <w:rPr>
              <w:rFonts w:ascii="Arial Unicode MS" w:eastAsia="Arial Unicode MS" w:hAnsi="Arial Unicode MS" w:cs="Arial Unicode MS"/>
              <w:color w:val="202124"/>
              <w:sz w:val="21"/>
              <w:szCs w:val="21"/>
              <w:highlight w:val="white"/>
            </w:rPr>
            <w:t>≅</w:t>
          </w:r>
        </w:sdtContent>
      </w:sdt>
      <w:r>
        <w:rPr>
          <w:rFonts w:ascii="Times New Roman" w:eastAsia="Times New Roman" w:hAnsi="Times New Roman" w:cs="Times New Roman"/>
          <w:color w:val="000000"/>
          <w:sz w:val="20"/>
          <w:szCs w:val="20"/>
        </w:rPr>
        <w:t xml:space="preserve"> 0,34 e </w:t>
      </w:r>
      <w:r>
        <w:rPr>
          <w:rFonts w:ascii="Times New Roman" w:eastAsia="Times New Roman" w:hAnsi="Times New Roman" w:cs="Times New Roman"/>
          <w:i/>
          <w:color w:val="000000"/>
          <w:sz w:val="20"/>
          <w:szCs w:val="20"/>
        </w:rPr>
        <w:t>z</w:t>
      </w:r>
      <w:r>
        <w:rPr>
          <w:rFonts w:ascii="Times New Roman" w:eastAsia="Times New Roman" w:hAnsi="Times New Roman" w:cs="Times New Roman"/>
          <w:color w:val="000000"/>
          <w:sz w:val="20"/>
          <w:szCs w:val="20"/>
        </w:rPr>
        <w:t xml:space="preserve"> </w:t>
      </w:r>
      <w:sdt>
        <w:sdtPr>
          <w:tag w:val="goog_rdk_2"/>
          <w:id w:val="1076092908"/>
        </w:sdtPr>
        <w:sdtEndPr/>
        <w:sdtContent>
          <w:r>
            <w:rPr>
              <w:rFonts w:ascii="Arial Unicode MS" w:eastAsia="Arial Unicode MS" w:hAnsi="Arial Unicode MS" w:cs="Arial Unicode MS"/>
              <w:color w:val="202124"/>
              <w:sz w:val="21"/>
              <w:szCs w:val="21"/>
              <w:highlight w:val="white"/>
            </w:rPr>
            <w:t>≅</w:t>
          </w:r>
        </w:sdtContent>
      </w:sdt>
      <w:r>
        <w:rPr>
          <w:rFonts w:ascii="Times New Roman" w:eastAsia="Times New Roman" w:hAnsi="Times New Roman" w:cs="Times New Roman"/>
          <w:color w:val="000000"/>
          <w:sz w:val="20"/>
          <w:szCs w:val="20"/>
        </w:rPr>
        <w:t xml:space="preserve"> 0,22.</w:t>
      </w:r>
    </w:p>
    <w:p w14:paraId="0000001C"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partir desses resultados, a cor da hematita pode ser visualizada na Figura 2 que apresenta o diagrama de cromaticidade. Nessa figura, os eixos das ordenadas e abscissas correspondem aos valores das coordenadas de cromaticidade </w:t>
      </w:r>
      <w:r>
        <w:rPr>
          <w:rFonts w:ascii="Times New Roman" w:eastAsia="Times New Roman" w:hAnsi="Times New Roman" w:cs="Times New Roman"/>
          <w:i/>
          <w:color w:val="000000"/>
          <w:sz w:val="20"/>
          <w:szCs w:val="20"/>
        </w:rPr>
        <w:t>x</w:t>
      </w:r>
      <w:r>
        <w:rPr>
          <w:rFonts w:ascii="Times New Roman" w:eastAsia="Times New Roman" w:hAnsi="Times New Roman" w:cs="Times New Roman"/>
          <w:color w:val="000000"/>
          <w:sz w:val="20"/>
          <w:szCs w:val="20"/>
        </w:rPr>
        <w:t xml:space="preserve"> e </w:t>
      </w:r>
      <w:r>
        <w:rPr>
          <w:rFonts w:ascii="Times New Roman" w:eastAsia="Times New Roman" w:hAnsi="Times New Roman" w:cs="Times New Roman"/>
          <w:i/>
          <w:color w:val="000000"/>
          <w:sz w:val="20"/>
          <w:szCs w:val="20"/>
        </w:rPr>
        <w:t>y</w:t>
      </w:r>
      <w:r>
        <w:rPr>
          <w:rFonts w:ascii="Times New Roman" w:eastAsia="Times New Roman" w:hAnsi="Times New Roman" w:cs="Times New Roman"/>
          <w:color w:val="000000"/>
          <w:sz w:val="20"/>
          <w:szCs w:val="20"/>
        </w:rPr>
        <w:t>, respectivamente, e a combinação dessas coordenadas promovem o diagrama de cores na região visível do espectro eletromagnético. A cor estimada para hematita corresponde ao círculo em preto na figura.</w:t>
      </w:r>
    </w:p>
    <w:p w14:paraId="0000001D" w14:textId="77777777" w:rsidR="00CE121F" w:rsidRDefault="00837E73">
      <w:pPr>
        <w:pBdr>
          <w:top w:val="nil"/>
          <w:left w:val="nil"/>
          <w:bottom w:val="nil"/>
          <w:right w:val="nil"/>
          <w:between w:val="nil"/>
        </w:pBdr>
        <w:spacing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2292350" cy="2194560"/>
            <wp:effectExtent l="0" t="0" r="0" b="0"/>
            <wp:docPr id="10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292350" cy="2194560"/>
                    </a:xfrm>
                    <a:prstGeom prst="rect">
                      <a:avLst/>
                    </a:prstGeom>
                    <a:ln/>
                  </pic:spPr>
                </pic:pic>
              </a:graphicData>
            </a:graphic>
          </wp:inline>
        </w:drawing>
      </w:r>
    </w:p>
    <w:p w14:paraId="0000001E"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Figura 2 – </w:t>
      </w:r>
      <w:r>
        <w:rPr>
          <w:rFonts w:ascii="Times New Roman" w:eastAsia="Times New Roman" w:hAnsi="Times New Roman" w:cs="Times New Roman"/>
          <w:color w:val="000000"/>
          <w:sz w:val="20"/>
          <w:szCs w:val="20"/>
        </w:rPr>
        <w:t xml:space="preserve">Diagrama de cromaticidade indicando a cor da hematita por meio do círculo em preto localizado em </w:t>
      </w:r>
      <w:r>
        <w:rPr>
          <w:rFonts w:ascii="Times New Roman" w:eastAsia="Times New Roman" w:hAnsi="Times New Roman" w:cs="Times New Roman"/>
          <w:i/>
          <w:color w:val="000000"/>
          <w:sz w:val="20"/>
          <w:szCs w:val="20"/>
        </w:rPr>
        <w:t>x</w:t>
      </w:r>
      <w:r>
        <w:rPr>
          <w:rFonts w:ascii="Times New Roman" w:eastAsia="Times New Roman" w:hAnsi="Times New Roman" w:cs="Times New Roman"/>
          <w:color w:val="000000"/>
          <w:sz w:val="20"/>
          <w:szCs w:val="20"/>
        </w:rPr>
        <w:t xml:space="preserve"> </w:t>
      </w:r>
      <w:sdt>
        <w:sdtPr>
          <w:tag w:val="goog_rdk_3"/>
          <w:id w:val="-582061945"/>
        </w:sdtPr>
        <w:sdtEndPr/>
        <w:sdtContent>
          <w:r>
            <w:rPr>
              <w:rFonts w:ascii="Arial Unicode MS" w:eastAsia="Arial Unicode MS" w:hAnsi="Arial Unicode MS" w:cs="Arial Unicode MS"/>
              <w:color w:val="202124"/>
              <w:sz w:val="21"/>
              <w:szCs w:val="21"/>
              <w:highlight w:val="white"/>
            </w:rPr>
            <w:t>≅</w:t>
          </w:r>
        </w:sdtContent>
      </w:sdt>
      <w:r>
        <w:rPr>
          <w:rFonts w:ascii="Times New Roman" w:eastAsia="Times New Roman" w:hAnsi="Times New Roman" w:cs="Times New Roman"/>
          <w:color w:val="000000"/>
          <w:sz w:val="20"/>
          <w:szCs w:val="20"/>
        </w:rPr>
        <w:t xml:space="preserve"> 0,44 e </w:t>
      </w:r>
      <w:r>
        <w:rPr>
          <w:rFonts w:ascii="Times New Roman" w:eastAsia="Times New Roman" w:hAnsi="Times New Roman" w:cs="Times New Roman"/>
          <w:i/>
          <w:color w:val="000000"/>
          <w:sz w:val="20"/>
          <w:szCs w:val="20"/>
        </w:rPr>
        <w:t>y</w:t>
      </w:r>
      <w:r>
        <w:rPr>
          <w:rFonts w:ascii="Times New Roman" w:eastAsia="Times New Roman" w:hAnsi="Times New Roman" w:cs="Times New Roman"/>
          <w:color w:val="000000"/>
          <w:sz w:val="20"/>
          <w:szCs w:val="20"/>
        </w:rPr>
        <w:t xml:space="preserve"> </w:t>
      </w:r>
      <w:sdt>
        <w:sdtPr>
          <w:tag w:val="goog_rdk_4"/>
          <w:id w:val="937646526"/>
        </w:sdtPr>
        <w:sdtEndPr/>
        <w:sdtContent>
          <w:r>
            <w:rPr>
              <w:rFonts w:ascii="Arial Unicode MS" w:eastAsia="Arial Unicode MS" w:hAnsi="Arial Unicode MS" w:cs="Arial Unicode MS"/>
              <w:color w:val="202124"/>
              <w:sz w:val="21"/>
              <w:szCs w:val="21"/>
              <w:highlight w:val="white"/>
            </w:rPr>
            <w:t>≅</w:t>
          </w:r>
        </w:sdtContent>
      </w:sdt>
      <w:r>
        <w:rPr>
          <w:rFonts w:ascii="Times New Roman" w:eastAsia="Times New Roman" w:hAnsi="Times New Roman" w:cs="Times New Roman"/>
          <w:color w:val="000000"/>
          <w:sz w:val="20"/>
          <w:szCs w:val="20"/>
        </w:rPr>
        <w:t xml:space="preserve"> 0,34.</w:t>
      </w:r>
    </w:p>
    <w:p w14:paraId="0000001F" w14:textId="1813502A"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Todos os valores utilizados no cálculo podem ser acessados na opção </w:t>
      </w:r>
      <w:r>
        <w:rPr>
          <w:rFonts w:ascii="Times New Roman" w:eastAsia="Times New Roman" w:hAnsi="Times New Roman" w:cs="Times New Roman"/>
          <w:i/>
          <w:color w:val="000000"/>
          <w:sz w:val="20"/>
          <w:szCs w:val="20"/>
        </w:rPr>
        <w:t>Mostrar dados</w:t>
      </w:r>
      <w:r>
        <w:rPr>
          <w:rFonts w:ascii="Times New Roman" w:eastAsia="Times New Roman" w:hAnsi="Times New Roman" w:cs="Times New Roman"/>
          <w:color w:val="000000"/>
          <w:sz w:val="20"/>
          <w:szCs w:val="20"/>
        </w:rPr>
        <w:t xml:space="preserve"> conforme apresentado na Figura 3. Essa opção fornece ao usuário os valores de comprimento de onda (nm), da reflectância (%), os valores de</w:t>
      </w:r>
      <w:r w:rsidR="00BF51E1">
        <w:rPr>
          <w:rFonts w:ascii="Times New Roman" w:eastAsia="Times New Roman" w:hAnsi="Times New Roman" w:cs="Times New Roman"/>
          <w:color w:val="000000"/>
          <w:sz w:val="20"/>
          <w:szCs w:val="20"/>
        </w:rPr>
        <w:t xml:space="preserve"> </w:t>
      </w:r>
      <w:r w:rsidR="00BF51E1" w:rsidRPr="007E16C2">
        <w:rPr>
          <w:rFonts w:ascii="Times New Roman" w:hAnsi="Times New Roman" w:cs="Times New Roman"/>
          <w:i/>
          <w:iCs/>
          <w:sz w:val="20"/>
          <w:szCs w:val="20"/>
        </w:rPr>
        <w:fldChar w:fldCharType="begin"/>
      </w:r>
      <w:r w:rsidR="00BF51E1" w:rsidRPr="007E16C2">
        <w:rPr>
          <w:rFonts w:ascii="Times New Roman" w:hAnsi="Times New Roman" w:cs="Times New Roman"/>
          <w:i/>
          <w:iCs/>
          <w:sz w:val="20"/>
          <w:szCs w:val="20"/>
        </w:rPr>
        <w:instrText xml:space="preserve"> EQ \x \to(x)</w:instrText>
      </w:r>
      <w:r w:rsidR="00BF51E1" w:rsidRPr="007E16C2">
        <w:rPr>
          <w:rFonts w:ascii="Times New Roman" w:hAnsi="Times New Roman" w:cs="Times New Roman"/>
          <w:i/>
          <w:iCs/>
          <w:sz w:val="20"/>
          <w:szCs w:val="20"/>
        </w:rPr>
        <w:fldChar w:fldCharType="end"/>
      </w:r>
      <w:r w:rsidR="00BF51E1" w:rsidRPr="007E16C2">
        <w:rPr>
          <w:rFonts w:ascii="Times New Roman" w:eastAsia="Times New Roman" w:hAnsi="Times New Roman" w:cs="Times New Roman"/>
          <w:color w:val="000000"/>
          <w:sz w:val="20"/>
          <w:szCs w:val="20"/>
        </w:rPr>
        <w:t xml:space="preserve">, </w:t>
      </w:r>
      <w:r w:rsidR="00BF51E1" w:rsidRPr="007E16C2">
        <w:rPr>
          <w:rFonts w:ascii="Times New Roman" w:hAnsi="Times New Roman" w:cs="Times New Roman"/>
          <w:sz w:val="20"/>
          <w:szCs w:val="20"/>
        </w:rPr>
        <w:t xml:space="preserve"> </w:t>
      </w:r>
      <w:r w:rsidR="00BF51E1" w:rsidRPr="007E16C2">
        <w:rPr>
          <w:rFonts w:ascii="Times New Roman" w:hAnsi="Times New Roman" w:cs="Times New Roman"/>
          <w:i/>
          <w:iCs/>
          <w:sz w:val="20"/>
          <w:szCs w:val="20"/>
        </w:rPr>
        <w:fldChar w:fldCharType="begin"/>
      </w:r>
      <w:r w:rsidR="00BF51E1" w:rsidRPr="007E16C2">
        <w:rPr>
          <w:rFonts w:ascii="Times New Roman" w:hAnsi="Times New Roman" w:cs="Times New Roman"/>
          <w:i/>
          <w:iCs/>
          <w:sz w:val="20"/>
          <w:szCs w:val="20"/>
        </w:rPr>
        <w:instrText xml:space="preserve"> EQ \x \to(y)</w:instrText>
      </w:r>
      <w:r w:rsidR="00BF51E1" w:rsidRPr="007E16C2">
        <w:rPr>
          <w:rFonts w:ascii="Times New Roman" w:hAnsi="Times New Roman" w:cs="Times New Roman"/>
          <w:i/>
          <w:iCs/>
          <w:sz w:val="20"/>
          <w:szCs w:val="20"/>
        </w:rPr>
        <w:fldChar w:fldCharType="end"/>
      </w:r>
      <w:r w:rsidR="00BF51E1" w:rsidRPr="007E16C2">
        <w:rPr>
          <w:rFonts w:ascii="Times New Roman" w:hAnsi="Times New Roman" w:cs="Times New Roman"/>
          <w:sz w:val="20"/>
          <w:szCs w:val="20"/>
        </w:rPr>
        <w:t xml:space="preserve">e </w:t>
      </w:r>
      <w:r w:rsidR="00BF51E1" w:rsidRPr="007E16C2">
        <w:rPr>
          <w:rFonts w:ascii="Times New Roman" w:hAnsi="Times New Roman" w:cs="Times New Roman"/>
          <w:i/>
          <w:iCs/>
          <w:sz w:val="20"/>
          <w:szCs w:val="20"/>
        </w:rPr>
        <w:fldChar w:fldCharType="begin"/>
      </w:r>
      <w:r w:rsidR="00BF51E1" w:rsidRPr="007E16C2">
        <w:rPr>
          <w:rFonts w:ascii="Times New Roman" w:hAnsi="Times New Roman" w:cs="Times New Roman"/>
          <w:i/>
          <w:iCs/>
          <w:sz w:val="20"/>
          <w:szCs w:val="20"/>
        </w:rPr>
        <w:instrText xml:space="preserve"> EQ \x \to(z)</w:instrText>
      </w:r>
      <w:r w:rsidR="00BF51E1" w:rsidRPr="007E16C2">
        <w:rPr>
          <w:rFonts w:ascii="Times New Roman" w:hAnsi="Times New Roman" w:cs="Times New Roman"/>
          <w:i/>
          <w:iCs/>
          <w:sz w:val="20"/>
          <w:szCs w:val="20"/>
        </w:rPr>
        <w:fldChar w:fldCharType="end"/>
      </w:r>
      <w:r>
        <w:rPr>
          <w:rFonts w:ascii="Times New Roman" w:eastAsia="Times New Roman" w:hAnsi="Times New Roman" w:cs="Times New Roman"/>
          <w:color w:val="000000"/>
          <w:sz w:val="20"/>
          <w:szCs w:val="20"/>
        </w:rPr>
        <w:t xml:space="preserve">bem como </w:t>
      </w:r>
      <w:r w:rsidR="00945BE3">
        <w:rPr>
          <w:rFonts w:ascii="Times New Roman" w:eastAsia="Times New Roman" w:hAnsi="Times New Roman" w:cs="Times New Roman"/>
          <w:color w:val="000000"/>
          <w:sz w:val="20"/>
          <w:szCs w:val="20"/>
        </w:rPr>
        <w:t>os valores do</w:t>
      </w:r>
      <w:r>
        <w:rPr>
          <w:rFonts w:ascii="Times New Roman" w:eastAsia="Times New Roman" w:hAnsi="Times New Roman" w:cs="Times New Roman"/>
          <w:color w:val="000000"/>
          <w:sz w:val="20"/>
          <w:szCs w:val="20"/>
        </w:rPr>
        <w:t xml:space="preserve"> iluminante utilizado. Por fim, a opção </w:t>
      </w:r>
      <w:r>
        <w:rPr>
          <w:rFonts w:ascii="Times New Roman" w:eastAsia="Times New Roman" w:hAnsi="Times New Roman" w:cs="Times New Roman"/>
          <w:i/>
          <w:color w:val="000000"/>
          <w:sz w:val="20"/>
          <w:szCs w:val="20"/>
        </w:rPr>
        <w:t>Sair</w:t>
      </w:r>
      <w:r>
        <w:rPr>
          <w:rFonts w:ascii="Times New Roman" w:eastAsia="Times New Roman" w:hAnsi="Times New Roman" w:cs="Times New Roman"/>
          <w:color w:val="000000"/>
          <w:sz w:val="20"/>
          <w:szCs w:val="20"/>
        </w:rPr>
        <w:t xml:space="preserve"> finaliza a execução do algoritmo.</w:t>
      </w:r>
    </w:p>
    <w:p w14:paraId="00000020"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noProof/>
          <w:color w:val="000000"/>
          <w:sz w:val="20"/>
          <w:szCs w:val="20"/>
        </w:rPr>
        <w:drawing>
          <wp:inline distT="114300" distB="114300" distL="114300" distR="114300">
            <wp:extent cx="3095625" cy="2260600"/>
            <wp:effectExtent l="0" t="0" r="0" b="0"/>
            <wp:docPr id="1035" name="image1.png" descr="Tabel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Tabela&#10;&#10;Descrição gerada automaticamente"/>
                    <pic:cNvPicPr preferRelativeResize="0"/>
                  </pic:nvPicPr>
                  <pic:blipFill>
                    <a:blip r:embed="rId14"/>
                    <a:srcRect/>
                    <a:stretch>
                      <a:fillRect/>
                    </a:stretch>
                  </pic:blipFill>
                  <pic:spPr>
                    <a:xfrm>
                      <a:off x="0" y="0"/>
                      <a:ext cx="3095625" cy="2260600"/>
                    </a:xfrm>
                    <a:prstGeom prst="rect">
                      <a:avLst/>
                    </a:prstGeom>
                    <a:ln/>
                  </pic:spPr>
                </pic:pic>
              </a:graphicData>
            </a:graphic>
          </wp:inline>
        </w:drawing>
      </w:r>
    </w:p>
    <w:p w14:paraId="00000021" w14:textId="75E59B1C"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Figura 3 – </w:t>
      </w:r>
      <w:r>
        <w:rPr>
          <w:rFonts w:ascii="Times New Roman" w:eastAsia="Times New Roman" w:hAnsi="Times New Roman" w:cs="Times New Roman"/>
          <w:color w:val="000000"/>
          <w:sz w:val="20"/>
          <w:szCs w:val="20"/>
        </w:rPr>
        <w:t xml:space="preserve">Imagem dos dados utilizados no cálculo das coordenadas de cromaticidade fornecido pela opção </w:t>
      </w:r>
      <w:r>
        <w:rPr>
          <w:rFonts w:ascii="Times New Roman" w:eastAsia="Times New Roman" w:hAnsi="Times New Roman" w:cs="Times New Roman"/>
          <w:i/>
          <w:color w:val="000000"/>
          <w:sz w:val="20"/>
          <w:szCs w:val="20"/>
        </w:rPr>
        <w:t>Mostrar dados</w:t>
      </w:r>
      <w:r>
        <w:rPr>
          <w:rFonts w:ascii="Times New Roman" w:eastAsia="Times New Roman" w:hAnsi="Times New Roman" w:cs="Times New Roman"/>
          <w:color w:val="000000"/>
          <w:sz w:val="20"/>
          <w:szCs w:val="20"/>
        </w:rPr>
        <w:t xml:space="preserve">. Essa opção fornece todos os dados utilizados no cálculo, </w:t>
      </w:r>
      <w:r w:rsidR="00945BE3">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 imagem</w:t>
      </w:r>
      <w:r w:rsidR="00945BE3">
        <w:rPr>
          <w:rFonts w:ascii="Times New Roman" w:eastAsia="Times New Roman" w:hAnsi="Times New Roman" w:cs="Times New Roman"/>
          <w:color w:val="000000"/>
          <w:sz w:val="20"/>
          <w:szCs w:val="20"/>
        </w:rPr>
        <w:t xml:space="preserve"> apesentada</w:t>
      </w:r>
      <w:r>
        <w:rPr>
          <w:rFonts w:ascii="Times New Roman" w:eastAsia="Times New Roman" w:hAnsi="Times New Roman" w:cs="Times New Roman"/>
          <w:color w:val="000000"/>
          <w:sz w:val="20"/>
          <w:szCs w:val="20"/>
        </w:rPr>
        <w:t xml:space="preserve"> contém somente um fragmento dessas informações como exemplo. </w:t>
      </w:r>
    </w:p>
    <w:p w14:paraId="00000022" w14:textId="77777777" w:rsidR="00CE121F" w:rsidRDefault="00837E73">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Considerações Finais</w:t>
      </w:r>
    </w:p>
    <w:p w14:paraId="00000023" w14:textId="3F841C79"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Implementou-se um algoritmo em </w:t>
      </w:r>
      <w:r>
        <w:rPr>
          <w:rFonts w:ascii="Times New Roman" w:eastAsia="Times New Roman" w:hAnsi="Times New Roman" w:cs="Times New Roman"/>
          <w:i/>
          <w:color w:val="000000"/>
          <w:sz w:val="20"/>
          <w:szCs w:val="20"/>
        </w:rPr>
        <w:t>Python</w:t>
      </w:r>
      <w:r>
        <w:rPr>
          <w:rFonts w:ascii="Times New Roman" w:eastAsia="Times New Roman" w:hAnsi="Times New Roman" w:cs="Times New Roman"/>
          <w:color w:val="000000"/>
          <w:sz w:val="20"/>
          <w:szCs w:val="20"/>
        </w:rPr>
        <w:t xml:space="preserve"> para quantificar a cor de materiais que compõe o solo. Verificou-se que o mineral hematita, um dos responsáveis pela coloração vermelha dos solos, apresentou as seguintes coordenadas de cromaticidade</w:t>
      </w:r>
      <w:r w:rsidR="00056DE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x</w:t>
      </w:r>
      <w:r>
        <w:rPr>
          <w:rFonts w:ascii="Times New Roman" w:eastAsia="Times New Roman" w:hAnsi="Times New Roman" w:cs="Times New Roman"/>
          <w:color w:val="000000"/>
          <w:sz w:val="20"/>
          <w:szCs w:val="20"/>
        </w:rPr>
        <w:t xml:space="preserve"> </w:t>
      </w:r>
      <w:sdt>
        <w:sdtPr>
          <w:tag w:val="goog_rdk_5"/>
          <w:id w:val="618420100"/>
        </w:sdtPr>
        <w:sdtEndPr/>
        <w:sdtContent>
          <w:r>
            <w:rPr>
              <w:rFonts w:ascii="Arial Unicode MS" w:eastAsia="Arial Unicode MS" w:hAnsi="Arial Unicode MS" w:cs="Arial Unicode MS"/>
              <w:color w:val="202124"/>
              <w:sz w:val="21"/>
              <w:szCs w:val="21"/>
              <w:highlight w:val="white"/>
            </w:rPr>
            <w:t>≅</w:t>
          </w:r>
        </w:sdtContent>
      </w:sdt>
      <w:r>
        <w:rPr>
          <w:rFonts w:ascii="Times New Roman" w:eastAsia="Times New Roman" w:hAnsi="Times New Roman" w:cs="Times New Roman"/>
          <w:color w:val="000000"/>
          <w:sz w:val="20"/>
          <w:szCs w:val="20"/>
        </w:rPr>
        <w:t xml:space="preserve"> 0,44, </w:t>
      </w:r>
      <w:r>
        <w:rPr>
          <w:rFonts w:ascii="Times New Roman" w:eastAsia="Times New Roman" w:hAnsi="Times New Roman" w:cs="Times New Roman"/>
          <w:i/>
          <w:color w:val="000000"/>
          <w:sz w:val="20"/>
          <w:szCs w:val="20"/>
        </w:rPr>
        <w:t>y</w:t>
      </w:r>
      <w:r>
        <w:rPr>
          <w:rFonts w:ascii="Times New Roman" w:eastAsia="Times New Roman" w:hAnsi="Times New Roman" w:cs="Times New Roman"/>
          <w:color w:val="000000"/>
          <w:sz w:val="20"/>
          <w:szCs w:val="20"/>
        </w:rPr>
        <w:t xml:space="preserve"> </w:t>
      </w:r>
      <w:sdt>
        <w:sdtPr>
          <w:tag w:val="goog_rdk_6"/>
          <w:id w:val="-1136338988"/>
        </w:sdtPr>
        <w:sdtEndPr/>
        <w:sdtContent>
          <w:r>
            <w:rPr>
              <w:rFonts w:ascii="Arial Unicode MS" w:eastAsia="Arial Unicode MS" w:hAnsi="Arial Unicode MS" w:cs="Arial Unicode MS"/>
              <w:color w:val="202124"/>
              <w:sz w:val="21"/>
              <w:szCs w:val="21"/>
              <w:highlight w:val="white"/>
            </w:rPr>
            <w:t>≅</w:t>
          </w:r>
        </w:sdtContent>
      </w:sdt>
      <w:r>
        <w:rPr>
          <w:rFonts w:ascii="Times New Roman" w:eastAsia="Times New Roman" w:hAnsi="Times New Roman" w:cs="Times New Roman"/>
          <w:color w:val="000000"/>
          <w:sz w:val="20"/>
          <w:szCs w:val="20"/>
        </w:rPr>
        <w:t xml:space="preserve"> 0,34 e </w:t>
      </w:r>
      <w:r>
        <w:rPr>
          <w:rFonts w:ascii="Times New Roman" w:eastAsia="Times New Roman" w:hAnsi="Times New Roman" w:cs="Times New Roman"/>
          <w:i/>
          <w:color w:val="000000"/>
          <w:sz w:val="20"/>
          <w:szCs w:val="20"/>
        </w:rPr>
        <w:t>z</w:t>
      </w:r>
      <w:r>
        <w:rPr>
          <w:rFonts w:ascii="Times New Roman" w:eastAsia="Times New Roman" w:hAnsi="Times New Roman" w:cs="Times New Roman"/>
          <w:color w:val="000000"/>
          <w:sz w:val="20"/>
          <w:szCs w:val="20"/>
        </w:rPr>
        <w:t xml:space="preserve"> </w:t>
      </w:r>
      <w:sdt>
        <w:sdtPr>
          <w:tag w:val="goog_rdk_7"/>
          <w:id w:val="1296572418"/>
        </w:sdtPr>
        <w:sdtEndPr/>
        <w:sdtContent>
          <w:r>
            <w:rPr>
              <w:rFonts w:ascii="Arial Unicode MS" w:eastAsia="Arial Unicode MS" w:hAnsi="Arial Unicode MS" w:cs="Arial Unicode MS"/>
              <w:color w:val="202124"/>
              <w:sz w:val="21"/>
              <w:szCs w:val="21"/>
              <w:highlight w:val="white"/>
            </w:rPr>
            <w:t>≅</w:t>
          </w:r>
        </w:sdtContent>
      </w:sdt>
      <w:r>
        <w:rPr>
          <w:rFonts w:ascii="Times New Roman" w:eastAsia="Times New Roman" w:hAnsi="Times New Roman" w:cs="Times New Roman"/>
          <w:color w:val="000000"/>
          <w:sz w:val="20"/>
          <w:szCs w:val="20"/>
        </w:rPr>
        <w:t xml:space="preserve"> 0,22 para o iluminante ILL D65.  Tais valores indicam que a cor medida para este material tende para o vermelho como esperado. Tal abordagem pode ser aplicada para outros materiais presentes em solos bem como diretamente em solos brutos. É interessante adaptar o algoritmo para classificar a cor do material segundo a tabela de cores de Munsell, futuramente pretende-se realizar tais estudos.</w:t>
      </w:r>
    </w:p>
    <w:p w14:paraId="00000024" w14:textId="77777777" w:rsidR="00CE121F" w:rsidRDefault="00837E73">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Agradecimentos</w:t>
      </w:r>
    </w:p>
    <w:p w14:paraId="00000025" w14:textId="77777777" w:rsidR="00CE121F"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Ao IFMS e ao Conselho Nacional de Desenvolvimento Científico e Tecnológico (CNPq) pelas Bolsas de Iniciação Científica para o Ensino Médio (Edital n° 019/2020).</w:t>
      </w:r>
    </w:p>
    <w:p w14:paraId="00000026" w14:textId="77777777" w:rsidR="00CE121F" w:rsidRPr="00903518" w:rsidRDefault="00837E73">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lang w:val="en-US"/>
        </w:rPr>
      </w:pPr>
      <w:r w:rsidRPr="00903518">
        <w:rPr>
          <w:rFonts w:ascii="Times New Roman" w:eastAsia="Times New Roman" w:hAnsi="Times New Roman" w:cs="Times New Roman"/>
          <w:b/>
          <w:color w:val="000000"/>
          <w:sz w:val="20"/>
          <w:szCs w:val="20"/>
          <w:lang w:val="en-US"/>
        </w:rPr>
        <w:t>Referências</w:t>
      </w:r>
    </w:p>
    <w:p w14:paraId="00000027" w14:textId="77777777" w:rsidR="00CE121F" w:rsidRPr="00903518"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lang w:val="en-US"/>
        </w:rPr>
      </w:pPr>
      <w:r w:rsidRPr="00903518">
        <w:rPr>
          <w:rFonts w:ascii="Times New Roman" w:eastAsia="Times New Roman" w:hAnsi="Times New Roman" w:cs="Times New Roman"/>
          <w:color w:val="000000"/>
          <w:sz w:val="20"/>
          <w:szCs w:val="20"/>
          <w:lang w:val="en-US"/>
        </w:rPr>
        <w:t xml:space="preserve">MARCUS, R. T. The measurement of color. In: NASSAU, K. </w:t>
      </w:r>
      <w:r w:rsidRPr="00903518">
        <w:rPr>
          <w:rFonts w:ascii="Times New Roman" w:eastAsia="Times New Roman" w:hAnsi="Times New Roman" w:cs="Times New Roman"/>
          <w:b/>
          <w:color w:val="000000"/>
          <w:sz w:val="20"/>
          <w:szCs w:val="20"/>
          <w:lang w:val="en-US"/>
        </w:rPr>
        <w:t>Color for Science, Art and Technology</w:t>
      </w:r>
      <w:r w:rsidRPr="00903518">
        <w:rPr>
          <w:rFonts w:ascii="Times New Roman" w:eastAsia="Times New Roman" w:hAnsi="Times New Roman" w:cs="Times New Roman"/>
          <w:color w:val="000000"/>
          <w:sz w:val="20"/>
          <w:szCs w:val="20"/>
          <w:lang w:val="en-US"/>
        </w:rPr>
        <w:t>. Amsterdam: Elsevier, p. 31-96, 1997.</w:t>
      </w:r>
    </w:p>
    <w:p w14:paraId="00000029" w14:textId="77777777" w:rsidR="00CE121F" w:rsidRPr="00903518" w:rsidRDefault="00837E73">
      <w:pPr>
        <w:pBdr>
          <w:top w:val="nil"/>
          <w:left w:val="nil"/>
          <w:bottom w:val="nil"/>
          <w:right w:val="nil"/>
          <w:between w:val="nil"/>
        </w:pBdr>
        <w:spacing w:after="120"/>
        <w:jc w:val="both"/>
        <w:rPr>
          <w:rFonts w:ascii="Times New Roman" w:eastAsia="Times New Roman" w:hAnsi="Times New Roman" w:cs="Times New Roman"/>
          <w:color w:val="000000"/>
          <w:sz w:val="20"/>
          <w:szCs w:val="20"/>
          <w:lang w:val="en-US"/>
        </w:rPr>
      </w:pPr>
      <w:r w:rsidRPr="00903518">
        <w:rPr>
          <w:rFonts w:ascii="Times New Roman" w:eastAsia="Times New Roman" w:hAnsi="Times New Roman" w:cs="Times New Roman"/>
          <w:color w:val="000000"/>
          <w:sz w:val="20"/>
          <w:szCs w:val="20"/>
          <w:lang w:val="en-US"/>
        </w:rPr>
        <w:t xml:space="preserve">SCHULZE, D. G. et al. Significance of organic matter in determining soil colors. </w:t>
      </w:r>
      <w:r w:rsidRPr="00903518">
        <w:rPr>
          <w:rFonts w:ascii="Times New Roman" w:eastAsia="Times New Roman" w:hAnsi="Times New Roman" w:cs="Times New Roman"/>
          <w:b/>
          <w:color w:val="000000"/>
          <w:sz w:val="20"/>
          <w:szCs w:val="20"/>
          <w:lang w:val="en-US"/>
        </w:rPr>
        <w:t>Soil color. Proc. symposium</w:t>
      </w:r>
      <w:r w:rsidRPr="00903518">
        <w:rPr>
          <w:rFonts w:ascii="Times New Roman" w:eastAsia="Times New Roman" w:hAnsi="Times New Roman" w:cs="Times New Roman"/>
          <w:color w:val="000000"/>
          <w:sz w:val="20"/>
          <w:szCs w:val="20"/>
          <w:lang w:val="en-US"/>
        </w:rPr>
        <w:t>, n. 31, p. 71–90, 1993.</w:t>
      </w:r>
    </w:p>
    <w:sectPr w:rsidR="00CE121F" w:rsidRPr="00903518">
      <w:type w:val="continuous"/>
      <w:pgSz w:w="11906" w:h="16838"/>
      <w:pgMar w:top="1985" w:right="567" w:bottom="567" w:left="1134" w:header="284" w:footer="1418" w:gutter="0"/>
      <w:cols w:num="2" w:space="720" w:equalWidth="0">
        <w:col w:w="4875" w:space="454"/>
        <w:col w:w="48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54B3" w14:textId="77777777" w:rsidR="00A62BC7" w:rsidRDefault="00A62BC7">
      <w:r>
        <w:separator/>
      </w:r>
    </w:p>
  </w:endnote>
  <w:endnote w:type="continuationSeparator" w:id="0">
    <w:p w14:paraId="17A0ADB2" w14:textId="77777777" w:rsidR="00A62BC7" w:rsidRDefault="00A6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CE121F" w:rsidRDefault="00837E73">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0" locked="0" layoutInCell="1" hidden="0" allowOverlap="1">
          <wp:simplePos x="0" y="0"/>
          <wp:positionH relativeFrom="column">
            <wp:posOffset>7622</wp:posOffset>
          </wp:positionH>
          <wp:positionV relativeFrom="paragraph">
            <wp:posOffset>43180</wp:posOffset>
          </wp:positionV>
          <wp:extent cx="6486525" cy="495300"/>
          <wp:effectExtent l="0" t="0" r="0" b="0"/>
          <wp:wrapNone/>
          <wp:docPr id="10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FA4D" w14:textId="77777777" w:rsidR="00A62BC7" w:rsidRDefault="00A62BC7">
      <w:r>
        <w:separator/>
      </w:r>
    </w:p>
  </w:footnote>
  <w:footnote w:type="continuationSeparator" w:id="0">
    <w:p w14:paraId="2C211DFE" w14:textId="77777777" w:rsidR="00A62BC7" w:rsidRDefault="00A6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CE121F" w:rsidRDefault="00CE121F">
    <w:pPr>
      <w:pBdr>
        <w:top w:val="nil"/>
        <w:left w:val="nil"/>
        <w:bottom w:val="nil"/>
        <w:right w:val="nil"/>
        <w:between w:val="nil"/>
      </w:pBdr>
      <w:tabs>
        <w:tab w:val="center" w:pos="4252"/>
        <w:tab w:val="right" w:pos="8504"/>
      </w:tabs>
      <w:rPr>
        <w:color w:val="000000"/>
      </w:rPr>
    </w:pPr>
  </w:p>
  <w:p w14:paraId="0000002B" w14:textId="77777777" w:rsidR="00CE121F" w:rsidRDefault="00837E73">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7622</wp:posOffset>
          </wp:positionH>
          <wp:positionV relativeFrom="paragraph">
            <wp:posOffset>304800</wp:posOffset>
          </wp:positionV>
          <wp:extent cx="6486525" cy="495300"/>
          <wp:effectExtent l="0" t="0" r="0" b="0"/>
          <wp:wrapNone/>
          <wp:docPr id="10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F6A06"/>
    <w:multiLevelType w:val="multilevel"/>
    <w:tmpl w:val="81F2A70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1F"/>
    <w:rsid w:val="00056DE2"/>
    <w:rsid w:val="0007336D"/>
    <w:rsid w:val="000B6B6C"/>
    <w:rsid w:val="00101310"/>
    <w:rsid w:val="00443DAF"/>
    <w:rsid w:val="00526C96"/>
    <w:rsid w:val="00765D4C"/>
    <w:rsid w:val="007E0F41"/>
    <w:rsid w:val="007E16C2"/>
    <w:rsid w:val="00837E73"/>
    <w:rsid w:val="00903518"/>
    <w:rsid w:val="00945BE3"/>
    <w:rsid w:val="00A62533"/>
    <w:rsid w:val="00A62BC7"/>
    <w:rsid w:val="00AA5BC6"/>
    <w:rsid w:val="00BF51E1"/>
    <w:rsid w:val="00C63933"/>
    <w:rsid w:val="00CE121F"/>
    <w:rsid w:val="00D70616"/>
    <w:rsid w:val="00EC0208"/>
    <w:rsid w:val="00F90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97F7"/>
  <w15:docId w15:val="{F0B9959A-B6DF-4CA8-9A51-7186ED9E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C4"/>
    <w:rPr>
      <w:lang w:eastAsia="en-US"/>
    </w:rPr>
  </w:style>
  <w:style w:type="paragraph" w:styleId="Ttulo1">
    <w:name w:val="heading 1"/>
    <w:basedOn w:val="Normal"/>
    <w:next w:val="Normal"/>
    <w:link w:val="Ttulo1Char"/>
    <w:uiPriority w:val="9"/>
    <w:qFormat/>
    <w:rsid w:val="00BB4367"/>
    <w:pPr>
      <w:keepNext/>
      <w:keepLines/>
      <w:numPr>
        <w:numId w:val="1"/>
      </w:numPr>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semiHidden/>
    <w:unhideWhenUsed/>
    <w:qFormat/>
    <w:rsid w:val="00BB4367"/>
    <w:pPr>
      <w:keepNext/>
      <w:keepLines/>
      <w:numPr>
        <w:ilvl w:val="1"/>
        <w:numId w:val="1"/>
      </w:numPr>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semiHidden/>
    <w:unhideWhenUsed/>
    <w:qFormat/>
    <w:rsid w:val="00BB4367"/>
    <w:pPr>
      <w:keepNext/>
      <w:keepLines/>
      <w:numPr>
        <w:ilvl w:val="2"/>
        <w:numId w:val="1"/>
      </w:numPr>
      <w:spacing w:before="200"/>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BB4367"/>
    <w:pPr>
      <w:keepNext/>
      <w:keepLines/>
      <w:numPr>
        <w:ilvl w:val="3"/>
        <w:numId w:val="1"/>
      </w:numPr>
      <w:spacing w:before="200"/>
      <w:outlineLvl w:val="3"/>
    </w:pPr>
    <w:rPr>
      <w:rFonts w:ascii="Cambria" w:eastAsia="Times New Roman" w:hAnsi="Cambria"/>
      <w:b/>
      <w:bCs/>
      <w:i/>
      <w:iCs/>
      <w:color w:val="4F81BD"/>
    </w:rPr>
  </w:style>
  <w:style w:type="paragraph" w:styleId="Ttulo5">
    <w:name w:val="heading 5"/>
    <w:basedOn w:val="Normal"/>
    <w:next w:val="Normal"/>
    <w:link w:val="Ttulo5Char"/>
    <w:uiPriority w:val="9"/>
    <w:semiHidden/>
    <w:unhideWhenUsed/>
    <w:qFormat/>
    <w:rsid w:val="00BB4367"/>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har"/>
    <w:uiPriority w:val="9"/>
    <w:semiHidden/>
    <w:unhideWhenUsed/>
    <w:qFormat/>
    <w:rsid w:val="00BB4367"/>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har"/>
    <w:uiPriority w:val="9"/>
    <w:semiHidden/>
    <w:unhideWhenUsed/>
    <w:qFormat/>
    <w:rsid w:val="00BB4367"/>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har"/>
    <w:uiPriority w:val="9"/>
    <w:semiHidden/>
    <w:unhideWhenUsed/>
    <w:qFormat/>
    <w:rsid w:val="00BB4367"/>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
    <w:semiHidden/>
    <w:unhideWhenUsed/>
    <w:qFormat/>
    <w:rsid w:val="00BB4367"/>
    <w:pPr>
      <w:keepNext/>
      <w:keepLines/>
      <w:numPr>
        <w:ilvl w:val="8"/>
        <w:numId w:val="1"/>
      </w:numPr>
      <w:spacing w:before="20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link w:val="Ttulo1"/>
    <w:uiPriority w:val="9"/>
    <w:rsid w:val="00BB4367"/>
    <w:rPr>
      <w:rFonts w:ascii="Cambria" w:eastAsia="Times New Roman" w:hAnsi="Cambria" w:cs="Times New Roman"/>
      <w:b/>
      <w:bCs/>
      <w:color w:val="365F91"/>
      <w:sz w:val="28"/>
      <w:szCs w:val="28"/>
    </w:rPr>
  </w:style>
  <w:style w:type="character" w:customStyle="1" w:styleId="Ttulo2Char">
    <w:name w:val="Título 2 Char"/>
    <w:link w:val="Ttulo2"/>
    <w:uiPriority w:val="9"/>
    <w:semiHidden/>
    <w:rsid w:val="00BB4367"/>
    <w:rPr>
      <w:rFonts w:ascii="Cambria" w:eastAsia="Times New Roman" w:hAnsi="Cambria" w:cs="Times New Roman"/>
      <w:b/>
      <w:bCs/>
      <w:color w:val="4F81BD"/>
      <w:sz w:val="26"/>
      <w:szCs w:val="26"/>
    </w:rPr>
  </w:style>
  <w:style w:type="character" w:customStyle="1" w:styleId="Ttulo3Char">
    <w:name w:val="Título 3 Char"/>
    <w:link w:val="Ttulo3"/>
    <w:uiPriority w:val="9"/>
    <w:semiHidden/>
    <w:rsid w:val="00BB4367"/>
    <w:rPr>
      <w:rFonts w:ascii="Cambria" w:eastAsia="Times New Roman" w:hAnsi="Cambria" w:cs="Times New Roman"/>
      <w:b/>
      <w:bCs/>
      <w:color w:val="4F81BD"/>
    </w:rPr>
  </w:style>
  <w:style w:type="character" w:customStyle="1" w:styleId="Ttulo4Char">
    <w:name w:val="Título 4 Char"/>
    <w:link w:val="Ttulo4"/>
    <w:uiPriority w:val="9"/>
    <w:semiHidden/>
    <w:rsid w:val="00BB4367"/>
    <w:rPr>
      <w:rFonts w:ascii="Cambria" w:eastAsia="Times New Roman" w:hAnsi="Cambria" w:cs="Times New Roman"/>
      <w:b/>
      <w:bCs/>
      <w:i/>
      <w:iCs/>
      <w:color w:val="4F81BD"/>
    </w:rPr>
  </w:style>
  <w:style w:type="character" w:customStyle="1" w:styleId="Ttulo5Char">
    <w:name w:val="Título 5 Char"/>
    <w:link w:val="Ttulo5"/>
    <w:uiPriority w:val="9"/>
    <w:semiHidden/>
    <w:rsid w:val="00BB4367"/>
    <w:rPr>
      <w:rFonts w:ascii="Cambria" w:eastAsia="Times New Roman" w:hAnsi="Cambria" w:cs="Times New Roman"/>
      <w:color w:val="243F60"/>
    </w:rPr>
  </w:style>
  <w:style w:type="character" w:customStyle="1" w:styleId="Ttulo6Char">
    <w:name w:val="Título 6 Char"/>
    <w:link w:val="Ttulo6"/>
    <w:uiPriority w:val="9"/>
    <w:semiHidden/>
    <w:rsid w:val="00BB4367"/>
    <w:rPr>
      <w:rFonts w:ascii="Cambria" w:eastAsia="Times New Roman" w:hAnsi="Cambria" w:cs="Times New Roman"/>
      <w:i/>
      <w:iCs/>
      <w:color w:val="243F60"/>
    </w:rPr>
  </w:style>
  <w:style w:type="character" w:customStyle="1" w:styleId="Ttulo7Char">
    <w:name w:val="Título 7 Char"/>
    <w:link w:val="Ttulo7"/>
    <w:uiPriority w:val="9"/>
    <w:semiHidden/>
    <w:rsid w:val="00BB4367"/>
    <w:rPr>
      <w:rFonts w:ascii="Cambria" w:eastAsia="Times New Roman" w:hAnsi="Cambria" w:cs="Times New Roman"/>
      <w:i/>
      <w:iCs/>
      <w:color w:val="404040"/>
    </w:rPr>
  </w:style>
  <w:style w:type="character" w:customStyle="1" w:styleId="Ttulo8Char">
    <w:name w:val="Título 8 Char"/>
    <w:link w:val="Ttulo8"/>
    <w:uiPriority w:val="9"/>
    <w:semiHidden/>
    <w:rsid w:val="00BB4367"/>
    <w:rPr>
      <w:rFonts w:ascii="Cambria" w:eastAsia="Times New Roman" w:hAnsi="Cambria" w:cs="Times New Roman"/>
      <w:color w:val="404040"/>
      <w:sz w:val="20"/>
      <w:szCs w:val="20"/>
    </w:rPr>
  </w:style>
  <w:style w:type="character" w:customStyle="1" w:styleId="Ttulo9Char">
    <w:name w:val="Título 9 Char"/>
    <w:link w:val="Ttulo9"/>
    <w:uiPriority w:val="9"/>
    <w:semiHidden/>
    <w:rsid w:val="00BB4367"/>
    <w:rPr>
      <w:rFonts w:ascii="Cambria" w:eastAsia="Times New Roman" w:hAnsi="Cambria" w:cs="Times New Roman"/>
      <w:i/>
      <w:iCs/>
      <w:color w:val="404040"/>
      <w:sz w:val="20"/>
      <w:szCs w:val="20"/>
    </w:rPr>
  </w:style>
  <w:style w:type="paragraph" w:styleId="PargrafodaLista">
    <w:name w:val="List Paragraph"/>
    <w:basedOn w:val="Normal"/>
    <w:uiPriority w:val="34"/>
    <w:qFormat/>
    <w:rsid w:val="00BB4367"/>
    <w:pPr>
      <w:spacing w:after="160" w:line="259" w:lineRule="auto"/>
      <w:ind w:left="720"/>
      <w:contextualSpacing/>
    </w:pPr>
    <w:rPr>
      <w:rFonts w:ascii="Calibri" w:hAnsi="Calibri"/>
      <w:sz w:val="22"/>
    </w:rPr>
  </w:style>
  <w:style w:type="paragraph" w:styleId="SemEspaamento">
    <w:name w:val="No Spacing"/>
    <w:uiPriority w:val="1"/>
    <w:qFormat/>
    <w:rsid w:val="009478FA"/>
    <w:rPr>
      <w:lang w:eastAsia="en-US"/>
    </w:rPr>
  </w:style>
  <w:style w:type="paragraph" w:customStyle="1" w:styleId="TtuloPrincipal">
    <w:name w:val="Título Principal"/>
    <w:basedOn w:val="Normal"/>
    <w:next w:val="Autor"/>
    <w:qFormat/>
    <w:rsid w:val="003F321D"/>
    <w:pPr>
      <w:spacing w:after="120"/>
      <w:jc w:val="center"/>
    </w:pPr>
    <w:rPr>
      <w:rFonts w:ascii="Times New Roman" w:hAnsi="Times New Roman"/>
      <w:b/>
      <w:lang w:val="en-US"/>
    </w:rPr>
  </w:style>
  <w:style w:type="paragraph" w:customStyle="1" w:styleId="Texto-TtulodeSeo">
    <w:name w:val="Texto - Título de Seção"/>
    <w:basedOn w:val="Texto"/>
    <w:next w:val="Texto"/>
    <w:qFormat/>
    <w:rsid w:val="00A312CE"/>
    <w:pPr>
      <w:shd w:val="clear" w:color="auto" w:fill="E2EFD9"/>
    </w:pPr>
    <w:rPr>
      <w:b/>
    </w:rPr>
  </w:style>
  <w:style w:type="paragraph" w:customStyle="1" w:styleId="Autor">
    <w:name w:val="Autor"/>
    <w:basedOn w:val="Normal"/>
    <w:next w:val="Autor-Endereo"/>
    <w:qFormat/>
    <w:rsid w:val="000F2FC9"/>
    <w:pPr>
      <w:spacing w:after="120"/>
      <w:jc w:val="center"/>
    </w:pPr>
    <w:rPr>
      <w:rFonts w:ascii="Times New Roman" w:hAnsi="Times New Roman"/>
      <w:sz w:val="20"/>
    </w:rPr>
  </w:style>
  <w:style w:type="paragraph" w:customStyle="1" w:styleId="Autor-Endereo">
    <w:name w:val="Autor - Endereço"/>
    <w:basedOn w:val="Autor"/>
    <w:next w:val="Autor-E-Mail"/>
    <w:qFormat/>
    <w:rsid w:val="000F2FC9"/>
  </w:style>
  <w:style w:type="paragraph" w:customStyle="1" w:styleId="Autor-E-Mail">
    <w:name w:val="Autor - E-Mail"/>
    <w:basedOn w:val="Autor"/>
    <w:next w:val="Texto"/>
    <w:qFormat/>
    <w:rsid w:val="000F2FC9"/>
  </w:style>
  <w:style w:type="character" w:styleId="Hyperlink">
    <w:name w:val="Hyperlink"/>
    <w:uiPriority w:val="99"/>
    <w:unhideWhenUsed/>
    <w:rsid w:val="00667676"/>
    <w:rPr>
      <w:color w:val="0000FF"/>
      <w:u w:val="single"/>
    </w:rPr>
  </w:style>
  <w:style w:type="paragraph" w:customStyle="1" w:styleId="Texto">
    <w:name w:val="Texto"/>
    <w:basedOn w:val="Normal"/>
    <w:qFormat/>
    <w:rsid w:val="00D424AA"/>
    <w:pPr>
      <w:spacing w:after="120"/>
      <w:jc w:val="both"/>
    </w:pPr>
    <w:rPr>
      <w:rFonts w:ascii="Times New Roman" w:hAnsi="Times New Roman"/>
      <w:sz w:val="20"/>
    </w:rPr>
  </w:style>
  <w:style w:type="paragraph" w:styleId="NormalWeb">
    <w:name w:val="Normal (Web)"/>
    <w:basedOn w:val="Normal"/>
    <w:uiPriority w:val="99"/>
    <w:semiHidden/>
    <w:unhideWhenUsed/>
    <w:rsid w:val="003F321D"/>
    <w:pPr>
      <w:spacing w:before="100" w:beforeAutospacing="1" w:after="100" w:afterAutospacing="1"/>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E039F6"/>
    <w:rPr>
      <w:rFonts w:ascii="Tahoma" w:hAnsi="Tahoma" w:cs="Tahoma"/>
      <w:sz w:val="16"/>
      <w:szCs w:val="16"/>
    </w:rPr>
  </w:style>
  <w:style w:type="character" w:customStyle="1" w:styleId="TextodebaloChar">
    <w:name w:val="Texto de balão Char"/>
    <w:link w:val="Textodebalo"/>
    <w:uiPriority w:val="99"/>
    <w:semiHidden/>
    <w:rsid w:val="00E039F6"/>
    <w:rPr>
      <w:rFonts w:ascii="Tahoma" w:hAnsi="Tahoma" w:cs="Tahoma"/>
      <w:sz w:val="16"/>
      <w:szCs w:val="16"/>
    </w:rPr>
  </w:style>
  <w:style w:type="paragraph" w:customStyle="1" w:styleId="Figura">
    <w:name w:val="Figura"/>
    <w:basedOn w:val="Texto"/>
    <w:next w:val="Texto"/>
    <w:qFormat/>
    <w:rsid w:val="00E039F6"/>
    <w:pPr>
      <w:jc w:val="center"/>
    </w:pPr>
    <w:rPr>
      <w:noProof/>
      <w:lang w:eastAsia="pt-BR"/>
    </w:rPr>
  </w:style>
  <w:style w:type="table" w:styleId="Tabelacomgrade">
    <w:name w:val="Table Grid"/>
    <w:basedOn w:val="Tabelanormal"/>
    <w:uiPriority w:val="59"/>
    <w:rsid w:val="00F40B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ela">
    <w:name w:val="Texto - Tabela"/>
    <w:basedOn w:val="Texto"/>
    <w:qFormat/>
    <w:rsid w:val="00F40BFA"/>
    <w:pPr>
      <w:spacing w:after="0"/>
      <w:jc w:val="left"/>
    </w:pPr>
  </w:style>
  <w:style w:type="paragraph" w:styleId="Cabealho">
    <w:name w:val="header"/>
    <w:basedOn w:val="Normal"/>
    <w:link w:val="CabealhoChar"/>
    <w:uiPriority w:val="99"/>
    <w:unhideWhenUsed/>
    <w:rsid w:val="00AD63B6"/>
    <w:pPr>
      <w:tabs>
        <w:tab w:val="center" w:pos="4252"/>
        <w:tab w:val="right" w:pos="8504"/>
      </w:tabs>
    </w:pPr>
  </w:style>
  <w:style w:type="character" w:customStyle="1" w:styleId="CabealhoChar">
    <w:name w:val="Cabeçalho Char"/>
    <w:basedOn w:val="Fontepargpadro"/>
    <w:link w:val="Cabealho"/>
    <w:uiPriority w:val="99"/>
    <w:rsid w:val="00AD63B6"/>
  </w:style>
  <w:style w:type="paragraph" w:styleId="Rodap">
    <w:name w:val="footer"/>
    <w:basedOn w:val="Normal"/>
    <w:link w:val="RodapChar"/>
    <w:uiPriority w:val="99"/>
    <w:unhideWhenUsed/>
    <w:rsid w:val="00AD63B6"/>
    <w:pPr>
      <w:tabs>
        <w:tab w:val="center" w:pos="4252"/>
        <w:tab w:val="right" w:pos="8504"/>
      </w:tabs>
    </w:pPr>
  </w:style>
  <w:style w:type="character" w:customStyle="1" w:styleId="RodapChar">
    <w:name w:val="Rodapé Char"/>
    <w:basedOn w:val="Fontepargpadro"/>
    <w:link w:val="Rodap"/>
    <w:uiPriority w:val="99"/>
    <w:rsid w:val="00AD63B6"/>
  </w:style>
  <w:style w:type="character" w:styleId="TextodoEspaoReservado">
    <w:name w:val="Placeholder Text"/>
    <w:basedOn w:val="Fontepargpadro"/>
    <w:uiPriority w:val="99"/>
    <w:semiHidden/>
    <w:rsid w:val="004A7B2C"/>
    <w:rPr>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4dJHvse6AzKtZGFGiHqTyC35Gg==">AMUW2mUOTOzdsmCQoq4jALsR98wsLvSQd3yH7bRrL7tmeNuYtc3oL2pdvJwCtROkiWtdv93EwUpgs7vJVDlzQ/bQ3GzXKnPf91hD89svttGuMr2kF0EbfpvqUMnnhdgP/JbRlsxITm9gMeYAaxizxfyVXmV8y9hUI75rwdH/8zLplcNKkb1NoVHjANFOuJyoTtbbcWxTmJNaMfzyuN+GKACgHo+WkTHQQ2R78yKS3dW1Pms5vvKAiloaWn3O0vfx0XN01j+r8w0aS3qVt54xdOlCPLgZ/qQ2Pc6rmkWpH2OOMX5puO3Uip+o8xIyUIlrcNbrcyUWxiGvad2LoxOoHe3GcwTsLUVak8/sGyvsaZBe+UWyBPqX7AUkQe2FHZaqQIIUg5JIEHgvGG+SOhVzOYCDNoc4VatkkbxA8GdFhXX+1tH7lv0cQC7s3XmI/HM5SSiqi2exWK4mt1HuOWb0wH0ekPO+LyEg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1107</Words>
  <Characters>5981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Maeda</dc:creator>
  <cp:lastModifiedBy>Revisor 1</cp:lastModifiedBy>
  <cp:revision>17</cp:revision>
  <dcterms:created xsi:type="dcterms:W3CDTF">2021-08-26T18:12:00Z</dcterms:created>
  <dcterms:modified xsi:type="dcterms:W3CDTF">2021-08-31T12:00:00Z</dcterms:modified>
</cp:coreProperties>
</file>